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2739390</wp:posOffset>
                </wp:positionH>
                <wp:positionV relativeFrom="margin">
                  <wp:posOffset>441960</wp:posOffset>
                </wp:positionV>
                <wp:extent cx="476250" cy="609600"/>
                <wp:effectExtent l="19050" t="0" r="0" b="0"/>
                <wp:wrapTopAndBottom/>
                <wp:docPr id="1" name="Рисунок 3" descr="g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e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15.70pt;mso-position-horizontal:absolute;mso-position-vertical-relative:margin;margin-top:34.80pt;mso-position-vertical:absolute;width:37.50pt;height:48.00pt;mso-wrap-distance-left:9.00pt;mso-wrap-distance-top:0.00pt;mso-wrap-distance-right:9.00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</w:r>
      <w:r>
        <w:rPr>
          <w:rFonts w:ascii="Times New Roman" w:hAnsi="Times New Roman" w:cs="Times New Roman"/>
          <w:b/>
          <w:sz w:val="14"/>
          <w:szCs w:val="28"/>
        </w:rPr>
      </w:r>
    </w:p>
    <w:p>
      <w:pPr>
        <w:pStyle w:val="69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ОЛЬШАНСКОГО </w:t>
      </w:r>
      <w:r>
        <w:rPr>
          <w:sz w:val="24"/>
          <w:szCs w:val="24"/>
        </w:rPr>
        <w:t xml:space="preserve"> СЕЛЬСКОГО ПОСЕЛЕНИЯ МУНИЦИПАЛЬНОГО РАЙОНА "ЧЕРНЯНСКИЙ РАЙОН" </w:t>
      </w:r>
      <w:r>
        <w:rPr>
          <w:sz w:val="24"/>
          <w:szCs w:val="24"/>
        </w:rPr>
      </w:r>
    </w:p>
    <w:p>
      <w:pPr>
        <w:pStyle w:val="690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Ольшанка</w:t>
      </w:r>
      <w:r>
        <w:rPr>
          <w:rFonts w:ascii="Times New Roman" w:hAnsi="Times New Roman" w:cs="Times New Roman"/>
          <w:b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90"/>
        <w:ind w:left="0"/>
        <w:jc w:val="center"/>
        <w:spacing w:line="240" w:lineRule="auto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hanging="540"/>
        <w:jc w:val="center"/>
        <w:spacing w:after="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   утверждении отчета об исполнении  бюджета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hanging="540"/>
        <w:jc w:val="center"/>
        <w:spacing w:after="0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</w:t>
      </w:r>
      <w:r>
        <w:rPr>
          <w:rFonts w:ascii="Times New Roman" w:hAnsi="Times New Roman" w:cs="Times New Roman"/>
          <w:b/>
          <w:sz w:val="28"/>
          <w:szCs w:val="28"/>
        </w:rPr>
        <w:t xml:space="preserve">нского сельского поселения 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91"/>
        <w:ind w:right="-1"/>
        <w:jc w:val="both"/>
        <w:spacing w:after="0" w:line="240" w:lineRule="auto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91"/>
        <w:ind w:right="5670"/>
        <w:jc w:val="both"/>
        <w:spacing w:after="0" w:line="240" w:lineRule="auto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691"/>
        <w:ind w:right="5670"/>
        <w:jc w:val="both"/>
        <w:spacing w:after="0" w:line="240" w:lineRule="auto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л я е 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2616,4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2738,9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фицит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122,5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доходов  в  бюджет поселения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 распределению  расходов бюджета  поселения по разделам,  подразделам функциональной  классификации  расходов  бюдж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 постановлению;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ведомственной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класси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фикации расходов бюджета  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внутренним  источникам  финансирования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(дефицита)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профицита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  настоящему  постановлению;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9"/>
        <w:jc w:val="both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объем межбюджетных трансфертов, получаемых из других уровней бюджетной системы Российской Федерации за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полугодие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года согласно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№ 6 к настоящему постановлению.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настоящее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 в 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интернет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(адрес  сайта:  </w:t>
      </w:r>
      <w:r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12" w:tooltip="http://russkohalanskoe.ru/" w:history="1"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  <w:lang w:val="en-US"/>
          </w:rPr>
          <w:t xml:space="preserve">ol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</w:rPr>
          <w:t xml:space="preserve">shank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  <w:lang w:val="en-US"/>
          </w:rPr>
          <w:t xml:space="preserve">a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</w:rPr>
          <w:t xml:space="preserve">-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  <w:lang w:val="en-US"/>
          </w:rPr>
          <w:t xml:space="preserve">r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</w:rPr>
          <w:t xml:space="preserve">31.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  <w:lang w:val="en-US"/>
          </w:rPr>
          <w:t xml:space="preserve">gosweb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</w:rPr>
          <w:t xml:space="preserve">.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  <w:lang w:val="en-US"/>
          </w:rPr>
          <w:t xml:space="preserve">gosuslugi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</w:rPr>
          <w:t xml:space="preserve">.</w:t>
        </w:r>
        <w:r>
          <w:rPr>
            <w:rStyle w:val="692"/>
            <w:rFonts w:ascii="Times New Roman" w:hAnsi="Times New Roman" w:cs="Times New Roman"/>
            <w:color w:val="000000"/>
            <w:sz w:val="28"/>
            <w:szCs w:val="28"/>
          </w:rPr>
          <w:t xml:space="preserve"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 Направить  отчёт  об  исполнении  бюджета  Ольшанско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 постановления  оставляю за собой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>
        <w:trPr/>
        <w:tc>
          <w:tcPr>
            <w:tcW w:w="328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</w:t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С.Г. Мельникова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Ольшанского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июля 2025г</w:t>
      </w:r>
      <w:r>
        <w:rPr>
          <w:rFonts w:ascii="Times New Roman" w:hAnsi="Times New Roman" w:cs="Times New Roman"/>
          <w:sz w:val="24"/>
          <w:szCs w:val="24"/>
        </w:rPr>
        <w:t xml:space="preserve">. №14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Поступление доходов в  бюджет 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льшанского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6372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/тыс</w:t>
      </w:r>
      <w:r>
        <w:rPr>
          <w:rFonts w:ascii="Times New Roman" w:hAnsi="Times New Roman" w:cs="Times New Roman"/>
        </w:rPr>
        <w:t xml:space="preserve">.р</w:t>
      </w:r>
      <w:r>
        <w:rPr>
          <w:rFonts w:ascii="Times New Roman" w:hAnsi="Times New Roman" w:cs="Times New Roman"/>
        </w:rPr>
        <w:t xml:space="preserve">ублей/</w:t>
      </w:r>
      <w:r>
        <w:rPr>
          <w:rFonts w:ascii="Times New Roman" w:hAnsi="Times New Roman" w:cs="Times New Roman"/>
          <w:b/>
          <w:bCs/>
          <w:color w:val="000000"/>
        </w:rPr>
      </w:r>
    </w:p>
    <w:tbl>
      <w:tblPr>
        <w:tblStyle w:val="699"/>
        <w:tblW w:w="0" w:type="auto"/>
        <w:tblLook w:val="04A0" w:firstRow="1" w:lastRow="0" w:firstColumn="1" w:lastColumn="0" w:noHBand="0" w:noVBand="1"/>
      </w:tblPr>
      <w:tblGrid>
        <w:gridCol w:w="4928"/>
        <w:gridCol w:w="2835"/>
        <w:gridCol w:w="1808"/>
      </w:tblGrid>
      <w:tr>
        <w:trPr>
          <w:trHeight w:val="498"/>
        </w:trPr>
        <w:tc>
          <w:tcPr>
            <w:tcW w:w="49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Код дохода по КД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Исполнено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НАЛОГОВЫЕ И НЕНАЛОГОВЫЕ ДОХОДЫ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000 1 00 00000 00 0000 000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338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НАЛОГИ НА ПРИБЫЛЬ, ДОХОДЫ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000 1 01 00000 00 0000 000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000 1 01 02010 01 0000 110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47,8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000 1 01 020</w:t>
            </w: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  <w:t xml:space="preserve">0 01 0000 110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</w:t>
            </w: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НАЛОГИ НА СОВОКУПНЫЙ ДОХОД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000 1 05 00000 00 0000 000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10,3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Единый сельскохозяйственный налог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000 1 05 03000 01 0000 110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НАЛОГИ НА ИМУЩЕСТВО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000 1 06 00000 00 0000 000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204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000 1 06 01030 10 0000 110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000 1 06 06033 10 0000 110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000 1 06 06043 10 0000 110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ДОХОДЫ ОТ ИМУЩЕСТВА, НАХОДЯЩЕГОСЯ В МУНИЦИПАЛЬНОЙ СОБСТВЕННОСТИ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000 1 11 00000 00 0000 000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000 1 11 05075 10 0000 120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000 2 00 00000 00 0000 000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2278,4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000 2 02 00000 00 0000 000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2278,4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ДОТАЦИИ БЮДЖЕТАМ СУБЪЕКТОВ РОССИЙСКОЙ ФЕДЕРАЦИИ И МУНИЦИПАЛЬНЫХ ОБРАЗОВАНИЙ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000 2 02 1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000 00 0000 150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2215,0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Дотации на выравнивание уровня бюджетной обеспеченности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000 2 02 1</w:t>
            </w: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  <w:t xml:space="preserve">001 00 0000 150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2215,0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Дотации бюджетам поселений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000 2 02 1</w:t>
            </w: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  <w:t xml:space="preserve">001 10 0000 150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2215,0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СЕЛЬСКИХ ПОСЕЛЕНИЙ ЗА СЧЕТ СРЕДСТВ РЕЗЕРВНОГО ФОНДА ПРЕЗИДЕНТА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000 2 02 30000 00 0000 150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 бюджетам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000 2 02 35118 10 0000 150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492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бюджета - 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000 0 00 00000 00 0000 000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80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2616,4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Ольшанского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июля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14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99"/>
        <w:tblW w:w="9713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701"/>
        <w:gridCol w:w="993"/>
        <w:gridCol w:w="1099"/>
      </w:tblGrid>
      <w:tr>
        <w:trPr/>
        <w:tc>
          <w:tcPr>
            <w:tcW w:w="39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Под-раздел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Целевая статья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расхо-дов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Общегосударственные вопросы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1152,9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1152,9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nos" w:hAnsi="Tinos" w:eastAsia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расходы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Иные 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мероприятия</w:t>
            </w:r>
            <w:r>
              <w:rPr>
                <w:rFonts w:ascii="Tinos" w:hAnsi="Tinos" w:cs="Tinos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999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420,9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227,8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227,8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  <w:t xml:space="preserve">75,8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185,</w:t>
            </w: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185,</w:t>
            </w:r>
            <w:r>
              <w:rPr>
                <w:rFonts w:ascii="Times New Roman" w:hAnsi="Times New Roman" w:cs="Times New Roman"/>
                <w:color w:val="00000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работ, услуг в сфере информационно-коммуникационных технологий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92,</w:t>
            </w: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41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энергетических ресурсов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16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Уплата прочих налогов, сборов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9990090019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16"/>
        </w:trPr>
        <w:tc>
          <w:tcPr>
            <w:tcW w:w="3936" w:type="dxa"/>
            <w:textDirection w:val="lrTb"/>
            <w:noWrap w:val="false"/>
          </w:tcPr>
          <w:p>
            <w:pPr>
              <w:rPr>
                <w:rFonts w:ascii="Tinos" w:hAnsi="Tinos" w:eastAsia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расходы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99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732,0</w:t>
            </w:r>
            <w:r/>
          </w:p>
        </w:tc>
      </w:tr>
      <w:tr>
        <w:trPr>
          <w:trHeight w:val="216"/>
        </w:trPr>
        <w:tc>
          <w:tcPr>
            <w:tcW w:w="3936" w:type="dxa"/>
            <w:textDirection w:val="lrTb"/>
            <w:noWrap w:val="false"/>
          </w:tcPr>
          <w:p>
            <w:pPr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Иные 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мероприятия</w:t>
            </w:r>
            <w:r>
              <w:rPr>
                <w:rFonts w:ascii="Tinos" w:hAnsi="Tinos" w:cs="Tinos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999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732,0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9990000410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732,0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9990000410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732,0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9990000410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120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732,0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9990000410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121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429,0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выплаты персоналу  государственны</w:t>
            </w:r>
            <w:r>
              <w:rPr>
                <w:rFonts w:ascii="Times New Roman" w:hAnsi="Times New Roman" w:cs="Times New Roman"/>
                <w:color w:val="000000"/>
              </w:rPr>
              <w:t xml:space="preserve">х(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9990000410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209,6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9990000410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129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93,4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Национальная оборона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eastAsia="Tinos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eastAsia="Tinos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 расходы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Иные 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 999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9990051180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1280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9990051180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100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9990051180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120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9990051180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121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9990051180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129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Прочая закупка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9990051180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014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rFonts w:ascii="Times New Roman" w:hAnsi="Times New Roman" w:cs="Times New Roman"/>
                <w:b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0140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0140220340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0140</w:t>
            </w: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20340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667,3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0140</w:t>
            </w: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20340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667,3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0140</w:t>
            </w: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  <w:t xml:space="preserve">20340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667,3</w:t>
            </w:r>
            <w:r/>
          </w:p>
        </w:tc>
      </w:tr>
      <w:tr>
        <w:trPr/>
        <w:tc>
          <w:tcPr>
            <w:tcW w:w="39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855,3</w:t>
            </w:r>
            <w:r>
              <w:rPr>
                <w:b/>
              </w:rPr>
            </w:r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  <w:t xml:space="preserve">0120010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855,3</w:t>
            </w:r>
            <w:r/>
          </w:p>
        </w:tc>
      </w:tr>
      <w:tr>
        <w:trPr/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  <w:t xml:space="preserve">0120010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855,3</w:t>
            </w:r>
            <w:r/>
          </w:p>
        </w:tc>
      </w:tr>
      <w:tr>
        <w:trPr>
          <w:trHeight w:val="227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  <w:t xml:space="preserve">0120010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852,9</w:t>
            </w:r>
            <w:r/>
          </w:p>
        </w:tc>
      </w:tr>
      <w:tr>
        <w:trPr>
          <w:trHeight w:val="227"/>
        </w:trPr>
        <w:tc>
          <w:tcPr>
            <w:tcW w:w="39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выплаты населению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</w:t>
            </w: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  <w:t xml:space="preserve">0120010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r>
          </w:p>
        </w:tc>
      </w:tr>
      <w:tr>
        <w:trPr/>
        <w:tc>
          <w:tcPr>
            <w:tcW w:w="39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расходов по бюджету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2738,9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z w:val="24"/>
          <w:szCs w:val="24"/>
        </w:rPr>
        <w:t xml:space="preserve">Ольшанского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июля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14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3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right="-23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Ведомственная структура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right="-23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right="-23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37"/>
        <w:gridCol w:w="851"/>
        <w:gridCol w:w="567"/>
        <w:gridCol w:w="567"/>
        <w:gridCol w:w="1433"/>
        <w:gridCol w:w="693"/>
        <w:gridCol w:w="1164"/>
      </w:tblGrid>
      <w:tr>
        <w:trPr>
          <w:trHeight w:val="9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Ведом-ство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Раз-дел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Под-раздел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Целевая статья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расхо-дов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2738,9</w:t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Администрация Ольшанского сельского поселения муниципального района "Чернянский район" Белгородской области</w:t>
            </w:r>
            <w:r>
              <w:rPr>
                <w:rFonts w:ascii="Times New Roman" w:hAnsi="Times New Roman" w:cs="Times New Roman"/>
                <w:b/>
                <w:bCs/>
                <w:i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2738,9</w:t>
            </w:r>
            <w:r/>
          </w:p>
        </w:tc>
      </w:tr>
      <w:tr>
        <w:trPr>
          <w:trHeight w:val="24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Общегосударственные вопросы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1152,9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52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1152,9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2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nos" w:hAnsi="Tinos" w:eastAsia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расходы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420,9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Иные 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мероприятия</w:t>
            </w:r>
            <w:r>
              <w:rPr>
                <w:rFonts w:ascii="Tinos" w:hAnsi="Tinos" w:cs="Tinos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999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420,9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9990090019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420,9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227,8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227,8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175,8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Иные закупки товаров, работ и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энергетических ресурсов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Иные бюджетные ассигнования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Уплата прочих налогов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nos" w:hAnsi="Tinos" w:eastAsia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расходы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04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732,0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Иные 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nos" w:hAnsi="Tinos" w:eastAsia="Tinos" w:cs="Tinos"/>
                <w:b/>
                <w:bCs/>
                <w:color w:val="000000"/>
              </w:rPr>
              <w:t xml:space="preserve"> мероприятия</w:t>
            </w:r>
            <w:r>
              <w:rPr>
                <w:rFonts w:ascii="Tinos" w:hAnsi="Tinos" w:cs="Tinos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04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732,0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9990000410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732,0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732,0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732,0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2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429,0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2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выплаты персоналу  государственны</w:t>
            </w:r>
            <w:r>
              <w:rPr>
                <w:rFonts w:ascii="Times New Roman" w:hAnsi="Times New Roman" w:cs="Times New Roman"/>
                <w:color w:val="000000"/>
              </w:rPr>
              <w:t xml:space="preserve">х(</w:t>
            </w:r>
            <w:r>
              <w:rPr>
                <w:rFonts w:ascii="Times New Roman" w:hAnsi="Times New Roman" w:cs="Times New Roman"/>
                <w:color w:val="000000"/>
              </w:rPr>
              <w:t xml:space="preserve">муниципальных) органов, за исключением фонда оплаты труда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209,6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6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6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Национальная оборона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32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nos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Мобилизационная и вневойсковая подготовка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33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nos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 расходы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Иные 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mes New Roman" w:hAnsi="Times New Roman" w:eastAsia="Tinos" w:cs="Times New Roman"/>
                <w:b/>
                <w:bCs/>
                <w:color w:val="000000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999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9990051180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выплату персоналу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16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4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4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Прочая закупка товаров, работ и услуг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правоохранительная деятельность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014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>
          <w:trHeight w:val="39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rFonts w:ascii="Times New Roman" w:hAnsi="Times New Roman" w:cs="Times New Roman"/>
                <w:b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0140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0140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20340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667,3</w:t>
            </w:r>
            <w:r>
              <w:rPr>
                <w:b/>
              </w:rPr>
            </w:r>
          </w:p>
        </w:tc>
      </w:tr>
      <w:tr>
        <w:trPr>
          <w:trHeight w:val="32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0140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20340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667,3</w:t>
            </w:r>
            <w:r/>
          </w:p>
        </w:tc>
      </w:tr>
      <w:tr>
        <w:trPr>
          <w:trHeight w:val="28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Иные закупки товаров, работ и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0140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20340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667,3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0140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20340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667,3</w:t>
            </w:r>
            <w:r/>
          </w:p>
        </w:tc>
      </w:tr>
      <w:tr>
        <w:trPr>
          <w:trHeight w:val="18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18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10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vAlign w:val="bottom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10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0120010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29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0120010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0120010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855.3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0120010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855.3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Ольшанского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июля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14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688"/>
        <w:gridCol w:w="645"/>
        <w:gridCol w:w="720"/>
        <w:gridCol w:w="1349"/>
      </w:tblGrid>
      <w:tr>
        <w:trPr>
          <w:trHeight w:val="2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КЦСР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Рз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mes New Roman" w:hAnsi="Times New Roman" w:cs="Times New Roman"/>
                <w:b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 Чернянского района Белгородской области 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1522,6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1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1522,6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rFonts w:ascii="Times New Roman" w:hAnsi="Times New Roman" w:cs="Times New Roman"/>
                <w:b/>
              </w:rPr>
              <w:t xml:space="preserve">Ольшанского </w:t>
            </w:r>
            <w:r>
              <w:rPr>
                <w:rFonts w:ascii="Times New Roman" w:hAnsi="Times New Roman" w:cs="Times New Roman"/>
                <w:b/>
              </w:rPr>
              <w:t xml:space="preserve">сельского поселения»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01401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855,</w:t>
            </w:r>
            <w:r>
              <w:rPr>
                <w:rFonts w:ascii="Times New Roman" w:hAnsi="Times New Roman" w:cs="Times New Roman"/>
                <w:b/>
              </w:rPr>
              <w:t xml:space="preserve">3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Благоустройство территории сельского поселения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0140120010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852,9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0140120010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rFonts w:ascii="Times New Roman" w:hAnsi="Times New Roman" w:cs="Times New Roman"/>
                <w:b/>
              </w:rPr>
              <w:t xml:space="preserve">Ольшанского</w:t>
            </w:r>
            <w:r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/>
                <w:i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01402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667,3</w:t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0140220340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</w:rPr>
              <w:t xml:space="preserve">667,3</w:t>
            </w:r>
            <w:r/>
          </w:p>
        </w:tc>
      </w:tr>
      <w:tr>
        <w:trPr>
          <w:trHeight w:val="10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1216,3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999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1216,3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227,8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732,0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58,4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РАСХОДОВ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2738,9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pStyle w:val="6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Ольшанского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tabs>
          <w:tab w:val="left" w:pos="-42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18 июля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202</w:t>
      </w:r>
      <w:r>
        <w:rPr>
          <w:rFonts w:ascii="Times New Roman" w:hAnsi="Times New Roman" w:cs="Times New Roman"/>
          <w:bCs/>
          <w:sz w:val="24"/>
          <w:szCs w:val="24"/>
        </w:rPr>
        <w:t xml:space="preserve"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14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right"/>
        <w:spacing w:after="0"/>
        <w:tabs>
          <w:tab w:val="left" w:pos="-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9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Объем межбюджетных трансфертов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Ольшанского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 тыс. рублей) 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527"/>
      </w:tblGrid>
      <w:tr>
        <w:trPr>
          <w:trHeight w:val="359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8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000 2 00 00000  00 0000 000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86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2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2278,4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76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910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2 02 10000  00 0000 150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386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5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2215,0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973"/>
        </w:trPr>
        <w:tc>
          <w:tcPr>
            <w:shd w:val="clear" w:color="auto" w:fill="ffffff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2 02 16001 10 0000 150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386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52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2215,0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5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32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905 2 02 35118 10 0000 150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386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252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pPr>
        <w:ind w:right="-6"/>
        <w:spacing w:after="0" w:line="240" w:lineRule="auto"/>
      </w:pPr>
      <w:r>
        <w:t xml:space="preserve">                                                                                                                                                   </w:t>
      </w:r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spacing w:after="0" w:line="240" w:lineRule="auto"/>
      </w:pPr>
      <w:r/>
      <w:r/>
    </w:p>
    <w:p>
      <w:pPr>
        <w:ind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Ольшанского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664" w:right="-6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18 июля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14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 финансирования  дефицита (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профицита</w:t>
      </w:r>
      <w:r>
        <w:rPr>
          <w:rFonts w:ascii="Times New Roman" w:hAnsi="Times New Roman" w:cs="Times New Roman"/>
          <w:b/>
          <w:sz w:val="28"/>
          <w:szCs w:val="28"/>
        </w:rPr>
        <w:t xml:space="preserve">) бюджета Ольшанского сельского поселения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495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78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/тыс</w:t>
      </w:r>
      <w:r>
        <w:rPr>
          <w:rFonts w:ascii="Times New Roman" w:hAnsi="Times New Roman" w:cs="Times New Roman"/>
        </w:rPr>
        <w:t xml:space="preserve">.р</w:t>
      </w:r>
      <w:r>
        <w:rPr>
          <w:rFonts w:ascii="Times New Roman" w:hAnsi="Times New Roman" w:cs="Times New Roman"/>
        </w:rPr>
        <w:t xml:space="preserve">ублей/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99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3544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365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профицита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3544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000000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122,5</w:t>
            </w:r>
            <w:r>
              <w:rPr>
                <w:b/>
              </w:rPr>
            </w:r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Изменение остатков по расчетам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544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000 01 05 00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122,5</w:t>
            </w:r>
            <w:r/>
          </w:p>
        </w:tc>
      </w:tr>
      <w:tr>
        <w:trPr/>
        <w:tc>
          <w:tcPr>
            <w:tcW w:w="36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544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000 01 05 00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 них: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 остатков расчетов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544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000 01 05 00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</w:rPr>
              <w:t xml:space="preserve">2616,4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W w:w="3652" w:type="dxa"/>
            <w:vAlign w:val="center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остатков расчетов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544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000 01 05 00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375" w:type="dxa"/>
            <w:vAlign w:val="bottom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2738,9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67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8"/>
        <w:jc w:val="center"/>
        <w:rPr>
          <w:b w:val="0"/>
          <w:szCs w:val="28"/>
        </w:rPr>
      </w:pPr>
      <w:r>
        <w:rPr>
          <w:szCs w:val="28"/>
        </w:rPr>
        <w:t xml:space="preserve">ПОЯСНИТЕЛЬНАЯ ЗАПИСКА</w:t>
      </w:r>
      <w:r>
        <w:rPr>
          <w:b w:val="0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об исполнении Бюджета Ольшанского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Доходы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Ольш</w:t>
      </w:r>
      <w:r>
        <w:rPr>
          <w:b w:val="0"/>
          <w:bCs/>
          <w:szCs w:val="28"/>
        </w:rPr>
        <w:t xml:space="preserve">анского сельского поселения за </w:t>
      </w:r>
      <w:r>
        <w:rPr>
          <w:b w:val="0"/>
          <w:bCs/>
          <w:szCs w:val="28"/>
        </w:rPr>
        <w:t xml:space="preserve">полугодие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202</w:t>
      </w:r>
      <w:r>
        <w:rPr>
          <w:b w:val="0"/>
          <w:bCs/>
          <w:szCs w:val="28"/>
        </w:rPr>
        <w:t xml:space="preserve">5</w:t>
      </w:r>
      <w:r>
        <w:rPr>
          <w:b w:val="0"/>
          <w:bCs/>
          <w:szCs w:val="28"/>
        </w:rPr>
        <w:t xml:space="preserve"> года исполнены в сумме</w:t>
      </w:r>
      <w:r>
        <w:rPr>
          <w:b w:val="0"/>
          <w:bCs/>
          <w:szCs w:val="28"/>
        </w:rPr>
        <w:t xml:space="preserve"> 2616,4 </w:t>
      </w:r>
      <w:r>
        <w:rPr>
          <w:b w:val="0"/>
          <w:bCs/>
          <w:szCs w:val="28"/>
        </w:rPr>
        <w:t xml:space="preserve"> рублей, или </w:t>
      </w:r>
      <w:r>
        <w:rPr>
          <w:b w:val="0"/>
          <w:bCs/>
          <w:szCs w:val="28"/>
        </w:rPr>
        <w:t xml:space="preserve">40,2</w:t>
      </w:r>
      <w:r>
        <w:rPr>
          <w:b w:val="0"/>
          <w:bCs/>
          <w:szCs w:val="28"/>
        </w:rPr>
        <w:t xml:space="preserve"> % от утвержденного плана за 202</w:t>
      </w:r>
      <w:r>
        <w:rPr>
          <w:b w:val="0"/>
          <w:bCs/>
          <w:szCs w:val="28"/>
        </w:rPr>
        <w:t xml:space="preserve">5</w:t>
      </w:r>
      <w:r>
        <w:rPr>
          <w:b w:val="0"/>
          <w:bCs/>
          <w:szCs w:val="28"/>
        </w:rPr>
        <w:t xml:space="preserve"> год</w:t>
      </w:r>
      <w:r>
        <w:rPr>
          <w:b w:val="0"/>
          <w:bCs/>
          <w:szCs w:val="28"/>
        </w:rPr>
        <w:t xml:space="preserve"> (</w:t>
      </w:r>
      <w:r>
        <w:rPr>
          <w:b w:val="0"/>
          <w:bCs/>
          <w:szCs w:val="28"/>
        </w:rPr>
        <w:t xml:space="preserve">6508,0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тыс. рублей).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</w:t>
      </w:r>
      <w:r>
        <w:rPr>
          <w:b w:val="0"/>
          <w:bCs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–</w:t>
      </w:r>
      <w:r>
        <w:rPr>
          <w:b w:val="0"/>
          <w:bCs/>
          <w:color w:val="000000"/>
          <w:szCs w:val="28"/>
        </w:rPr>
        <w:t xml:space="preserve">338</w:t>
      </w:r>
      <w:r>
        <w:rPr>
          <w:b w:val="0"/>
          <w:bCs/>
          <w:color w:val="000000"/>
          <w:szCs w:val="28"/>
        </w:rPr>
        <w:t xml:space="preserve">,0</w:t>
      </w:r>
      <w:r>
        <w:rPr>
          <w:b w:val="0"/>
          <w:bCs/>
          <w:color w:val="000000"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рублей; безвозмездные перечисления из бюджетов других уровней –  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2278,4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>
        <w:rPr>
          <w:b w:val="0"/>
          <w:bCs/>
          <w:szCs w:val="28"/>
        </w:rPr>
        <w:t xml:space="preserve">–</w:t>
      </w:r>
      <w:r>
        <w:rPr>
          <w:b w:val="0"/>
          <w:bCs/>
          <w:szCs w:val="28"/>
        </w:rPr>
        <w:t xml:space="preserve">2215,0</w:t>
      </w:r>
      <w:r>
        <w:rPr>
          <w:b w:val="0"/>
          <w:bCs/>
          <w:szCs w:val="28"/>
        </w:rPr>
        <w:t xml:space="preserve">тыс. рублей, </w:t>
      </w:r>
      <w:r>
        <w:rPr>
          <w:b w:val="0"/>
          <w:bCs/>
          <w:szCs w:val="28"/>
        </w:rPr>
        <w:t xml:space="preserve">субвенции бюджетам поселений на осуществление первичного воинского учета на территор</w:t>
      </w:r>
      <w:r>
        <w:rPr>
          <w:b w:val="0"/>
          <w:bCs/>
          <w:szCs w:val="28"/>
        </w:rPr>
        <w:t xml:space="preserve">иях, где отсутствуют военные ком</w:t>
      </w:r>
      <w:r>
        <w:rPr>
          <w:b w:val="0"/>
          <w:bCs/>
          <w:szCs w:val="28"/>
        </w:rPr>
        <w:t xml:space="preserve">ис</w:t>
      </w:r>
      <w:r>
        <w:rPr>
          <w:b w:val="0"/>
          <w:bCs/>
          <w:szCs w:val="28"/>
        </w:rPr>
        <w:t xml:space="preserve">сариаты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–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63,4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рублей.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В общей массе доходов бюджета поселения за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полугодие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202</w:t>
      </w:r>
      <w:r>
        <w:rPr>
          <w:b w:val="0"/>
          <w:bCs/>
          <w:szCs w:val="28"/>
        </w:rPr>
        <w:t xml:space="preserve">5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года собственные доходы составили  -  </w:t>
      </w:r>
      <w:r>
        <w:rPr>
          <w:b w:val="0"/>
          <w:bCs/>
          <w:szCs w:val="28"/>
        </w:rPr>
        <w:t xml:space="preserve">14,8</w:t>
      </w:r>
      <w:r>
        <w:rPr>
          <w:b w:val="0"/>
          <w:bCs/>
          <w:color w:val="000000"/>
          <w:szCs w:val="28"/>
        </w:rPr>
        <w:t xml:space="preserve">%.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Собственные  налоговые и неналоговые доходы бюджета поселения выполнены на  </w:t>
      </w:r>
      <w:r>
        <w:rPr>
          <w:b w:val="0"/>
          <w:bCs/>
          <w:szCs w:val="28"/>
        </w:rPr>
        <w:t xml:space="preserve">29,6</w:t>
      </w:r>
      <w:r>
        <w:rPr>
          <w:b w:val="0"/>
          <w:bCs/>
          <w:szCs w:val="28"/>
        </w:rPr>
        <w:t xml:space="preserve">% (план –  </w:t>
      </w:r>
      <w:r>
        <w:rPr>
          <w:b w:val="0"/>
          <w:bCs/>
          <w:szCs w:val="28"/>
        </w:rPr>
        <w:t xml:space="preserve">1140,0</w:t>
      </w:r>
      <w:r>
        <w:rPr>
          <w:b w:val="0"/>
          <w:bCs/>
          <w:color w:val="ff0000"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рублей, факт –  </w:t>
      </w:r>
      <w:r>
        <w:rPr>
          <w:b w:val="0"/>
          <w:bCs/>
          <w:szCs w:val="28"/>
        </w:rPr>
        <w:t xml:space="preserve">338,0</w:t>
      </w:r>
      <w:r>
        <w:rPr>
          <w:b w:val="0"/>
          <w:bCs/>
          <w:szCs w:val="28"/>
        </w:rPr>
        <w:t xml:space="preserve">тыс. рублей).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>
        <w:rPr>
          <w:b w:val="0"/>
          <w:bCs/>
          <w:szCs w:val="28"/>
        </w:rPr>
        <w:t xml:space="preserve">полугодие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202</w:t>
      </w:r>
      <w:r>
        <w:rPr>
          <w:b w:val="0"/>
          <w:bCs/>
          <w:szCs w:val="28"/>
        </w:rPr>
        <w:t xml:space="preserve">5</w:t>
      </w:r>
      <w:r>
        <w:rPr>
          <w:b w:val="0"/>
          <w:bCs/>
          <w:szCs w:val="28"/>
        </w:rPr>
        <w:t xml:space="preserve"> года</w:t>
      </w:r>
      <w:r>
        <w:rPr>
          <w:b w:val="0"/>
          <w:bCs/>
          <w:szCs w:val="28"/>
        </w:rPr>
        <w:t xml:space="preserve">  являются следующие доходные источники: 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земельный налог – </w:t>
      </w:r>
      <w:r>
        <w:rPr>
          <w:b w:val="0"/>
          <w:bCs/>
          <w:szCs w:val="28"/>
        </w:rPr>
        <w:t xml:space="preserve">188,9</w:t>
      </w:r>
      <w:r>
        <w:rPr>
          <w:b w:val="0"/>
          <w:bCs/>
          <w:szCs w:val="28"/>
        </w:rPr>
        <w:t xml:space="preserve"> тыс. рублей (</w:t>
      </w:r>
      <w:r>
        <w:rPr>
          <w:b w:val="0"/>
          <w:bCs/>
          <w:szCs w:val="28"/>
        </w:rPr>
        <w:t xml:space="preserve">55,8</w:t>
      </w:r>
      <w:r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 xml:space="preserve">;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доходы от сдачи в аренду имущества – </w:t>
      </w:r>
      <w:r>
        <w:rPr>
          <w:b w:val="0"/>
          <w:bCs/>
          <w:szCs w:val="28"/>
        </w:rPr>
        <w:t xml:space="preserve">75,0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 (</w:t>
      </w:r>
      <w:r>
        <w:rPr>
          <w:b w:val="0"/>
          <w:bCs/>
          <w:szCs w:val="28"/>
        </w:rPr>
        <w:t xml:space="preserve">2</w:t>
      </w:r>
      <w:r>
        <w:rPr>
          <w:b w:val="0"/>
          <w:bCs/>
          <w:szCs w:val="28"/>
        </w:rPr>
        <w:t xml:space="preserve">3</w:t>
      </w:r>
      <w:r>
        <w:rPr>
          <w:b w:val="0"/>
          <w:bCs/>
          <w:szCs w:val="28"/>
        </w:rPr>
        <w:t xml:space="preserve">,</w:t>
      </w:r>
      <w:r>
        <w:rPr>
          <w:b w:val="0"/>
          <w:bCs/>
          <w:szCs w:val="28"/>
        </w:rPr>
        <w:t xml:space="preserve">2</w:t>
      </w:r>
      <w:r>
        <w:rPr>
          <w:b w:val="0"/>
          <w:bCs/>
          <w:szCs w:val="28"/>
        </w:rPr>
        <w:t xml:space="preserve"> % от общей массы собственных доходов);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налог на доходы физических лиц –</w:t>
      </w:r>
      <w:r>
        <w:rPr>
          <w:b w:val="0"/>
          <w:bCs/>
          <w:szCs w:val="28"/>
        </w:rPr>
        <w:t xml:space="preserve">48,1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 (</w:t>
      </w:r>
      <w:r>
        <w:rPr>
          <w:b w:val="0"/>
          <w:bCs/>
          <w:szCs w:val="28"/>
        </w:rPr>
        <w:t xml:space="preserve">14,2</w:t>
      </w:r>
      <w:r>
        <w:rPr>
          <w:b w:val="0"/>
          <w:bCs/>
          <w:szCs w:val="28"/>
        </w:rPr>
        <w:t xml:space="preserve">% от общей массы собственных доходов)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налог на имущество физических лиц – </w:t>
      </w:r>
      <w:r>
        <w:rPr>
          <w:b w:val="0"/>
          <w:bCs/>
          <w:szCs w:val="28"/>
        </w:rPr>
        <w:t xml:space="preserve">15,7</w:t>
      </w:r>
      <w:r>
        <w:rPr>
          <w:b w:val="0"/>
          <w:bCs/>
          <w:szCs w:val="28"/>
        </w:rPr>
        <w:t xml:space="preserve"> тыс.</w:t>
      </w:r>
      <w:r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рублей </w:t>
      </w:r>
      <w:r>
        <w:rPr>
          <w:b w:val="0"/>
          <w:bCs/>
          <w:szCs w:val="28"/>
        </w:rPr>
        <w:t xml:space="preserve">(</w:t>
      </w:r>
      <w:r>
        <w:rPr>
          <w:b w:val="0"/>
          <w:bCs/>
          <w:szCs w:val="28"/>
        </w:rPr>
        <w:t xml:space="preserve">4,6</w:t>
      </w:r>
      <w:r>
        <w:rPr>
          <w:b w:val="0"/>
          <w:bCs/>
          <w:szCs w:val="28"/>
        </w:rPr>
        <w:t xml:space="preserve">% от общей массы собственных доходов)</w:t>
      </w:r>
      <w:r>
        <w:rPr>
          <w:b w:val="0"/>
          <w:bCs/>
          <w:szCs w:val="28"/>
        </w:rPr>
        <w:t xml:space="preserve">;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 xml:space="preserve">единый сельскохозяйственный налог</w:t>
      </w:r>
      <w:r>
        <w:rPr>
          <w:b w:val="0"/>
          <w:bCs/>
          <w:szCs w:val="28"/>
        </w:rPr>
        <w:t xml:space="preserve"> – </w:t>
      </w:r>
      <w:r>
        <w:rPr>
          <w:b w:val="0"/>
          <w:bCs/>
          <w:szCs w:val="28"/>
        </w:rPr>
        <w:t xml:space="preserve">10,3</w:t>
      </w:r>
      <w:r>
        <w:rPr>
          <w:b w:val="0"/>
          <w:bCs/>
          <w:szCs w:val="28"/>
        </w:rPr>
        <w:t xml:space="preserve"> тыс. рублей (</w:t>
      </w:r>
      <w:r>
        <w:rPr>
          <w:b w:val="0"/>
          <w:bCs/>
          <w:szCs w:val="28"/>
        </w:rPr>
        <w:t xml:space="preserve">3,1</w:t>
      </w:r>
      <w:r>
        <w:rPr>
          <w:b w:val="0"/>
          <w:bCs/>
          <w:szCs w:val="28"/>
        </w:rPr>
        <w:t xml:space="preserve">% от общей массы собственных доходов)</w:t>
      </w:r>
      <w:r>
        <w:rPr>
          <w:b w:val="0"/>
          <w:bCs/>
          <w:szCs w:val="28"/>
        </w:rPr>
        <w:t xml:space="preserve">.</w:t>
      </w:r>
      <w:r>
        <w:rPr>
          <w:b w:val="0"/>
          <w:bCs/>
          <w:szCs w:val="28"/>
        </w:rPr>
      </w:r>
    </w:p>
    <w:p>
      <w:pPr>
        <w:pStyle w:val="702"/>
        <w:jc w:val="both"/>
        <w:spacing w:line="276" w:lineRule="auto"/>
        <w:rPr>
          <w:bCs/>
          <w:szCs w:val="28"/>
        </w:rPr>
      </w:pPr>
      <w:r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>
        <w:rPr>
          <w:color w:val="000000"/>
          <w:szCs w:val="28"/>
          <w:u w:val="single"/>
        </w:rPr>
        <w:t xml:space="preserve">Расходы </w:t>
      </w:r>
      <w:r>
        <w:rPr>
          <w:bCs/>
          <w:szCs w:val="28"/>
        </w:rPr>
      </w:r>
    </w:p>
    <w:p>
      <w:pPr>
        <w:pStyle w:val="700"/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бюд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жета  сельского поселения  за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полугодие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2738,9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На  оплату труда с начислениями израсходовано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1018,2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33,2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к сумме собственных доходов с учетом финансовой помощи из районного бюджета.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426"/>
        <w:jc w:val="both"/>
        <w:spacing w:after="0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власти Ольшанского сельского поселения» средства освоены на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1152,9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на оплату труда с начислениями израсходовано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959,8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426"/>
        <w:jc w:val="both"/>
        <w:spacing w:after="0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</w:t>
      </w:r>
      <w:r>
        <w:rPr>
          <w:rFonts w:ascii="Times New Roman" w:hAnsi="Times New Roman" w:cs="Times New Roman"/>
          <w:sz w:val="28"/>
          <w:szCs w:val="28"/>
        </w:rPr>
        <w:t xml:space="preserve">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израсходованы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667,3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к</w:t>
      </w:r>
      <w:r>
        <w:rPr>
          <w:rFonts w:ascii="Times New Roman" w:hAnsi="Times New Roman" w:cs="Times New Roman"/>
          <w:sz w:val="28"/>
          <w:szCs w:val="28"/>
        </w:rPr>
        <w:t xml:space="preserve">омплекс процессных мероприятий «Реализация мероприятий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израсходованы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426"/>
        <w:jc w:val="both"/>
        <w:spacing w:after="0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осуществление полномочий  по первичному воинскому учету на территориях, где отсутствуют военные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комиссариаты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63,4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на оплату труда с начислениями израсходовано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58,4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tabs>
          <w:tab w:val="left" w:pos="42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Ольшанского сельского поселения                                      С.Г.Мельникова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23205"/>
      <w:rPr/>
    </w:sdtPr>
    <w:sdtContent>
      <w:p>
        <w:pPr>
          <w:pStyle w:val="695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0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0"/>
    <w:link w:val="67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0"/>
    <w:link w:val="684"/>
    <w:uiPriority w:val="10"/>
    <w:rPr>
      <w:sz w:val="48"/>
      <w:szCs w:val="48"/>
    </w:rPr>
  </w:style>
  <w:style w:type="character" w:styleId="37">
    <w:name w:val="Subtitle Char"/>
    <w:basedOn w:val="680"/>
    <w:link w:val="688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95"/>
    <w:uiPriority w:val="99"/>
  </w:style>
  <w:style w:type="character" w:styleId="45">
    <w:name w:val="Footer Char"/>
    <w:basedOn w:val="680"/>
    <w:link w:val="697"/>
    <w:uiPriority w:val="99"/>
  </w:style>
  <w:style w:type="character" w:styleId="47">
    <w:name w:val="Caption Char"/>
    <w:basedOn w:val="690"/>
    <w:link w:val="697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83"/>
    <w:qFormat/>
    <w:pPr>
      <w:jc w:val="right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679">
    <w:name w:val="Heading 2"/>
    <w:basedOn w:val="677"/>
    <w:next w:val="677"/>
    <w:link w:val="705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Заголовок 1 Знак"/>
    <w:basedOn w:val="680"/>
    <w:link w:val="678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684">
    <w:name w:val="Title"/>
    <w:basedOn w:val="677"/>
    <w:link w:val="68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</w:rPr>
  </w:style>
  <w:style w:type="character" w:styleId="685" w:customStyle="1">
    <w:name w:val="Название Знак"/>
    <w:basedOn w:val="680"/>
    <w:link w:val="684"/>
    <w:rPr>
      <w:rFonts w:ascii="Times New Roman" w:hAnsi="Times New Roman" w:eastAsia="Times New Roman" w:cs="Times New Roman"/>
      <w:b/>
      <w:sz w:val="28"/>
      <w:szCs w:val="20"/>
    </w:rPr>
  </w:style>
  <w:style w:type="paragraph" w:styleId="686">
    <w:name w:val="Body Text Indent"/>
    <w:basedOn w:val="677"/>
    <w:link w:val="687"/>
    <w:semiHidden/>
    <w:unhideWhenUsed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bCs/>
      <w:sz w:val="28"/>
      <w:szCs w:val="24"/>
    </w:rPr>
  </w:style>
  <w:style w:type="character" w:styleId="687" w:customStyle="1">
    <w:name w:val="Основной текст с отступом Знак"/>
    <w:basedOn w:val="680"/>
    <w:link w:val="686"/>
    <w:semiHidden/>
    <w:rPr>
      <w:rFonts w:ascii="Times New Roman" w:hAnsi="Times New Roman" w:eastAsia="Times New Roman" w:cs="Times New Roman"/>
      <w:bCs/>
      <w:sz w:val="28"/>
      <w:szCs w:val="24"/>
    </w:rPr>
  </w:style>
  <w:style w:type="paragraph" w:styleId="688">
    <w:name w:val="Subtitle"/>
    <w:basedOn w:val="677"/>
    <w:link w:val="68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689" w:customStyle="1">
    <w:name w:val="Подзаголовок Знак"/>
    <w:basedOn w:val="680"/>
    <w:link w:val="688"/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690">
    <w:name w:val="Caption"/>
    <w:basedOn w:val="677"/>
    <w:next w:val="677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691" w:customStyle="1">
    <w:name w:val="Базовый"/>
    <w:pPr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692">
    <w:name w:val="Hyperlink"/>
    <w:rPr>
      <w:color w:val="0066cc"/>
      <w:u w:val="single"/>
    </w:rPr>
  </w:style>
  <w:style w:type="paragraph" w:styleId="693">
    <w:name w:val="List Paragraph"/>
    <w:basedOn w:val="677"/>
    <w:uiPriority w:val="99"/>
    <w:qFormat/>
    <w:pPr>
      <w:contextualSpacing/>
      <w:ind w:left="720"/>
    </w:pPr>
    <w:rPr>
      <w:rFonts w:ascii="Calibri" w:hAnsi="Calibri" w:eastAsia="Times New Roman" w:cs="Times New Roman"/>
    </w:rPr>
  </w:style>
  <w:style w:type="paragraph" w:styleId="694">
    <w:name w:val="Normal (Web)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95">
    <w:name w:val="Header"/>
    <w:basedOn w:val="677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Верхний колонтитул Знак"/>
    <w:basedOn w:val="680"/>
    <w:link w:val="695"/>
    <w:uiPriority w:val="99"/>
  </w:style>
  <w:style w:type="paragraph" w:styleId="697">
    <w:name w:val="Footer"/>
    <w:basedOn w:val="677"/>
    <w:link w:val="69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 w:customStyle="1">
    <w:name w:val="Нижний колонтитул Знак"/>
    <w:basedOn w:val="680"/>
    <w:link w:val="697"/>
    <w:uiPriority w:val="99"/>
    <w:semiHidden/>
  </w:style>
  <w:style w:type="table" w:styleId="699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0">
    <w:name w:val="Body Text"/>
    <w:basedOn w:val="677"/>
    <w:link w:val="701"/>
    <w:uiPriority w:val="99"/>
    <w:semiHidden/>
    <w:unhideWhenUsed/>
    <w:pPr>
      <w:spacing w:after="120"/>
    </w:pPr>
  </w:style>
  <w:style w:type="character" w:styleId="701" w:customStyle="1">
    <w:name w:val="Основной текст Знак"/>
    <w:basedOn w:val="680"/>
    <w:link w:val="700"/>
    <w:uiPriority w:val="99"/>
    <w:semiHidden/>
  </w:style>
  <w:style w:type="paragraph" w:styleId="702" w:customStyle="1">
    <w:name w:val="Основной текст 21"/>
    <w:basedOn w:val="677"/>
    <w:pPr>
      <w:spacing w:after="0" w:line="240" w:lineRule="auto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703">
    <w:name w:val="Balloon Text"/>
    <w:basedOn w:val="677"/>
    <w:link w:val="7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4" w:customStyle="1">
    <w:name w:val="Текст выноски Знак"/>
    <w:basedOn w:val="680"/>
    <w:link w:val="703"/>
    <w:uiPriority w:val="99"/>
    <w:semiHidden/>
    <w:rPr>
      <w:rFonts w:ascii="Tahoma" w:hAnsi="Tahoma" w:cs="Tahoma"/>
      <w:sz w:val="16"/>
      <w:szCs w:val="16"/>
    </w:rPr>
  </w:style>
  <w:style w:type="character" w:styleId="705" w:customStyle="1">
    <w:name w:val="Заголовок 2 Знак"/>
    <w:basedOn w:val="680"/>
    <w:link w:val="67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53AB-88BE-496D-8BD6-28716B92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Русскохаланское СП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revision>42</cp:revision>
  <dcterms:created xsi:type="dcterms:W3CDTF">2022-10-26T12:06:00Z</dcterms:created>
  <dcterms:modified xsi:type="dcterms:W3CDTF">2025-07-21T11:22:02Z</dcterms:modified>
</cp:coreProperties>
</file>